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2025-2026 School Year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Bowie Middle School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All Students: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inch Binder (Campus Provided)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 Dividers with Pockets (Campus Provided)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Binder Pencil Pouch (Campus Provided)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Clear backpack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Headphones / Earbuds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Composition Notebooks for RLA and Science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 Folder with Brackets and Pockets for Social Studies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Blue/Black Pens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 Highlighters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24 Pencils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Pencil Sharpener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Colored Pencils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 Black Expo Markers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Planner/Agenda suggested?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4352925</wp:posOffset>
          </wp:positionH>
          <wp:positionV relativeFrom="paragraph">
            <wp:posOffset>-244361</wp:posOffset>
          </wp:positionV>
          <wp:extent cx="2100263" cy="83694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384" l="0" r="0" t="28461"/>
                  <a:stretch>
                    <a:fillRect/>
                  </a:stretch>
                </pic:blipFill>
                <pic:spPr>
                  <a:xfrm>
                    <a:off x="0" y="0"/>
                    <a:ext cx="2100263" cy="83694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